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富士山のもとで、地方自治体の未来を考える 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~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憲法・国民投票・地方自治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~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第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回全国政策研究集会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in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沼津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-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参加申込用紙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日時：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2018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年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月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24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日（金）、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25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日（土）　会場：沼津情報ビジネス専門学校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沼津市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１．分類　当てはまる項目に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○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をつけて下さい。（なお、市民以外は１日だけも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　２日通しも同料金です。）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［　］自治体議員政策情報センター 会員議員 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5000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］非会員議員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区市議・都道府県議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) 10000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［　］首長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5,000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協賛費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］町村議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会員・非会員問わず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) 3,000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］一般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/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研究者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1000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］一般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/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研究者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(1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日のみ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)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（　　　）日に参加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500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［　］学生 無料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２．分科会参加申し込み　それぞれにご希望の分科会に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○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を記入してください。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8/24(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金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) 16:15~18:15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第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I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分科会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](1)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国民投票と地方自治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](2)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憲法・地方自治・議員のめざす姿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](3)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地域からのエネルギーシフト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!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再生可能エネルギーへ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8/25(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土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) 9:30~11:30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第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 xml:space="preserve">II 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分科会 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](1)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「個として繋がり合い、支え合っていける社会づくり」  若者・生活困窮者支援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](2)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「自転車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×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まちづくり」新たな次元の社会政策を考える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[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](3)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超巨大プロジェクト「リニア中央新幹線」が日本を破壊する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?!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３．地産地消レセプション参加申し込み（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4,000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円）どちらかに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○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を付けてくださ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　い。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］参加する　　　　［　］参加しない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各地の名産を１品ずつ持ち寄って披露します。お持ちいただける方は銘酒・名産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品をご記入下さい。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（持参なしでも大丈夫です。予告なしの持ち寄りも大歓迎。今までの実績はお酒、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お菓子類など）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　　　　　　　　　　　　　　　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４．オプション企画参加申し込み　ご希望の方は、当てはまる項目に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○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をつけて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　下さい。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8/23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12:20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〜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16:30(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無料：定員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30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名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］浜岡原発の現状を視察する　　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注意　７月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31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日（火）締め切り　センター、協力団体の会員限定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14:00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〜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16:00(2500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円昼食付：定員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名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］地域資源「川の流れ」を活かしたまちづくり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12:30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〜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15:40(2500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円昼食付：定員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20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名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］文化財保護と開発〜市民運動の広がり〜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8/25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　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12:45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〜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16:30(2000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円昼食付：定員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16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名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)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］「自転車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×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まちづくり」沼津市のサイクルツーリズムを体験する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住　所　　［　　　　　　　　　　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ふりがな　［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氏　名　　［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所　　　属［　　　　　　　　］　　　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TEL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FAX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　　　　　　　］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ヒラギノ角ゴ ProN W3" w:eastAsia="ヒラギノ角ゴ ProN W3" w:hAnsi="ヒラギノ角ゴ ProN W3" w:hint="default"/>
        </w:rPr>
        <w:t>E-mail</w:t>
      </w: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>［　　　　　　　　　　　］　　　</w:t>
      </w: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</w:p>
    <w:p>
      <w:pPr>
        <w:pStyle w:val="PO153"/>
        <w:bidi w:val="0"/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snapToGrid w:val="on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color w:val="000000"/>
          <w:position w:val="0"/>
          <w:sz w:val="22"/>
          <w:szCs w:val="22"/>
          <w:u w:val="none"/>
          <w:smallCaps w:val="0"/>
          <w:rFonts w:ascii="Arial Unicode MS" w:eastAsia="ヒラギノ角ゴ ProN W3" w:hAnsi="ヒラギノ角ゴ ProN W3" w:hint="default"/>
        </w:rPr>
        <w:t xml:space="preserve">申込締切 ： ７月末　お支払い ： 当日受付にて、集金させていただきます。</w:t>
      </w:r>
    </w:p>
    <w:sectPr>
      <w:headerReference w:type="default" r:id="rId5"/>
      <w:footerReference w:type="default" r:id="rId6"/>
      <w:pgSz w:w="11906" w:h="16838"/>
      <w:pgMar w:top="1134" w:left="1134" w:bottom="1134" w:right="1134" w:header="709" w:footer="85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ゴシック体 ミディアム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ヒラギノ角ゴ ProN W3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hd w:val="clear" w:color="000000"/>
      <w:spacing w:lineRule="auto" w:line="240" w:before="0" w:after="0"/>
      <w:pageBreakBefore w:val="0"/>
      <w:pBdr>
        <w:left w:val="nil"/>
        <w:top w:val="nil"/>
        <w:bottom w:val="nil"/>
        <w:right w:val="nil"/>
        <w:between w:val="nil"/>
      </w:pBdr>
      <w:ind w:right="0" w:firstLine="0"/>
      <w:rPr>
        <w:spacing w:val="0"/>
        <w:i w:val="0"/>
        <w:b w:val="0"/>
        <w:imprint w:val="0"/>
        <w:emboss w:val="0"/>
        <w:outline w:val="0"/>
        <w:color w:val="auto"/>
        <w:position w:val="0"/>
        <w:sz w:val="24"/>
        <w:szCs w:val="24"/>
        <w:u w:val="none"/>
        <w:smallCaps w:val="0"/>
        <w:rFonts w:ascii="Times New Roman" w:eastAsia="Arial Unicode MS" w:hAnsi="Arial Unicode MS" w:hint="default"/>
      </w:rPr>
      <w:snapToGrid w:val="on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hd w:val="clear" w:color="000000"/>
      <w:spacing w:lineRule="auto" w:line="240" w:before="0" w:after="0"/>
      <w:pageBreakBefore w:val="0"/>
      <w:pBdr>
        <w:left w:val="nil"/>
        <w:top w:val="nil"/>
        <w:bottom w:val="nil"/>
        <w:right w:val="nil"/>
        <w:between w:val="nil"/>
      </w:pBdr>
      <w:ind w:right="0" w:firstLine="0"/>
      <w:rPr>
        <w:spacing w:val="0"/>
        <w:i w:val="0"/>
        <w:b w:val="0"/>
        <w:imprint w:val="0"/>
        <w:emboss w:val="0"/>
        <w:outline w:val="0"/>
        <w:color w:val="auto"/>
        <w:position w:val="0"/>
        <w:sz w:val="24"/>
        <w:szCs w:val="24"/>
        <w:u w:val="none"/>
        <w:smallCaps w:val="0"/>
        <w:rFonts w:ascii="Times New Roman" w:eastAsia="Arial Unicode MS" w:hAnsi="Arial Unicode MS" w:hint="default"/>
      </w:rPr>
      <w:snapToGrid w:val="on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isplayHorizontalDrawingGridEvery w:val="0"/>
  <w:displayVerticalDrawingGridEvery w:val="2"/>
  <w:noPunctuationKerning/>
  <w:characterSpacingControl w:val="doNotCompress"/>
  <w:noLineBreaksAfter w:lang="ko-KR" w:val="‘“(〔[{〈《「『【⦅〘〖«〝︵︷︹︻︽︿﹁﹃﹇﹙﹛﹝｢"/>
  <w:noLineBreaksBefore w:lang="ko-KR" w:val="‘“(〔[{〈《「『【⦅〘〖«〝︵︷︹︻︽︿﹁﹃﹇﹙﹛﹝｢"/>
  <w:hdrShapeDefaults>
    <o:shapedefaults v:ext="edit" spidmax="2050"/>
    <o:shapelayout v:ext="edit">
      <o:idmap v:ext="edit" data="1"/>
    </o:shapelayout>
  </w:hdrShapeDefaults>
  <w:evenAndOddHeaders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pBdr>
          <w:left w:val="nil"/>
          <w:top w:val="nil"/>
          <w:bottom w:val="nil"/>
          <w:right w:val="nil"/>
          <w:between w:val="nil"/>
        </w:pBdr>
        <w:autoSpaceDE w:val="1"/>
        <w:autoSpaceDN w:val="1"/>
        <w:ind w:firstLine="0"/>
        <w:numPr>
          <w:numId w:val="0"/>
          <w:ilvl w:val="0"/>
        </w:numPr>
        <w:pageBreakBefore w:val="0"/>
        <w:shd w:val="clear" w:color="000000"/>
        <w:widowControl/>
        <w:wordWrap/>
      </w:pPr>
    </w:pPrDefault>
    <w:rPrDefault>
      <w:rPr>
        <w:rFonts w:ascii="Times New Roman" w:eastAsia="Arial Unicode MS" w:hAnsi="Times New Roman"/>
        <w:b w:val="0"/>
        <w:shd w:val="clear"/>
        <w:sz w:val="20"/>
        <w:szCs w:val="20"/>
        <w:u w:val="none"/>
        <w:vertAlign w:val="subscript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pPr>
      <w:autoSpaceDE w:val="1"/>
      <w:autoSpaceDN w:val="1"/>
      <w:widowControl/>
      <w:wordWrap/>
    </w:pPr>
  </w:style>
  <w:style w:styleId="PO5" w:type="paragraph">
    <w:name w:val="No Spacing"/>
    <w:link w:val="PO2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2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2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2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2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2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2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2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2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2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2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2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2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2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2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2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2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2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2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2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2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2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2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2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2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character">
    <w:name w:val="Hyperlink"/>
    <w:uiPriority w:val="151"/>
    <w:rPr>
      <w:shd w:val="clear"/>
      <w:sz w:val="20"/>
      <w:szCs w:val="20"/>
      <w:u w:val="single"/>
      <w:w w:val="100"/>
    </w:rPr>
  </w:style>
  <w:style w:default="1" w:styleId="PO152" w:type="table">
    <w:name w:val="Table Normal"/>
    <w:uiPriority w:val="152"/>
    <w:pPr>
      <w:autoSpaceDE w:val="1"/>
      <w:autoSpaceDN w:val="1"/>
      <w:widowControl/>
      <w:wordWrap/>
    </w:pPr>
    <w:tblPr>
      <w:tblInd w:type="dxa" w:w="0"/>
    </w:tblPr>
    <w:tcPr/>
    <w:trPr/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PO153" w:type="paragraph">
    <w:name w:val="本文"/>
    <w:uiPriority w:val="153"/>
    <w:pPr>
      <w:autoSpaceDE w:val="1"/>
      <w:autoSpaceDN w:val="1"/>
      <w:bidi/>
      <w:ind w:firstLine="0"/>
      <w:pageBreakBefore w:val="0"/>
      <w:shd w:val="clear" w:color="000000"/>
      <w:widowControl/>
      <w:wordWrap/>
    </w:pPr>
    <w:rPr>
      <w:color w:val="000000"/>
      <w:rFonts w:ascii="Arial Unicode MS" w:eastAsia="ヒラギノ角ゴ ProN W3" w:hAnsi="Arial Unicode MS"/>
      <w:b w:val="0"/>
      <w:shd w:val="clear"/>
      <w:sz w:val="22"/>
      <w:szCs w:val="22"/>
      <w:u w:val="none"/>
      <w:vertAlign w:val="subscrip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